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9B5" w:rsidRDefault="00B94F13">
      <w:pPr>
        <w:ind w:left="648"/>
        <w:rPr>
          <w:rFonts w:ascii="Times New Roman" w:hAnsi="Times New Roman"/>
          <w:i/>
          <w:color w:val="000000"/>
          <w:spacing w:val="60"/>
          <w:sz w:val="20"/>
        </w:rPr>
      </w:pPr>
      <w:bookmarkStart w:id="0" w:name="_GoBack"/>
      <w:bookmarkEnd w:id="0"/>
      <w:r>
        <w:rPr>
          <w:rFonts w:ascii="Times New Roman" w:hAnsi="Times New Roman"/>
          <w:i/>
          <w:color w:val="000000"/>
          <w:spacing w:val="60"/>
          <w:sz w:val="20"/>
        </w:rPr>
        <w:t xml:space="preserve">Segura and Pierce </w:t>
      </w:r>
      <w:r>
        <w:rPr>
          <w:rFonts w:ascii="Times New Roman" w:hAnsi="Times New Roman"/>
          <w:color w:val="000000"/>
          <w:spacing w:val="30"/>
          <w:sz w:val="19"/>
        </w:rPr>
        <w:t>CHICANA/O FAMILY STRUCTURE</w:t>
      </w:r>
    </w:p>
    <w:p w:rsidR="008849B5" w:rsidRDefault="00B94F13">
      <w:pPr>
        <w:spacing w:before="252"/>
        <w:ind w:left="936" w:right="288"/>
        <w:jc w:val="both"/>
        <w:rPr>
          <w:rFonts w:ascii="Times New Roman" w:hAnsi="Times New Roman"/>
          <w:b/>
          <w:color w:val="000000"/>
          <w:spacing w:val="-4"/>
          <w:sz w:val="24"/>
        </w:rPr>
      </w:pPr>
      <w:r>
        <w:rPr>
          <w:rFonts w:ascii="Times New Roman" w:hAnsi="Times New Roman"/>
          <w:b/>
          <w:color w:val="000000"/>
          <w:spacing w:val="-4"/>
          <w:sz w:val="24"/>
        </w:rPr>
        <w:t xml:space="preserve">informed, she notes, by the mother's relation to her husband, her </w:t>
      </w:r>
      <w:r>
        <w:rPr>
          <w:rFonts w:ascii="Times New Roman" w:hAnsi="Times New Roman"/>
          <w:b/>
          <w:color w:val="000000"/>
          <w:spacing w:val="-1"/>
          <w:sz w:val="24"/>
        </w:rPr>
        <w:t xml:space="preserve">economic dependence on him, her experience of male dominance. </w:t>
      </w:r>
      <w:r>
        <w:rPr>
          <w:rFonts w:ascii="Times New Roman" w:hAnsi="Times New Roman"/>
          <w:b/>
          <w:color w:val="000000"/>
          <w:spacing w:val="-4"/>
          <w:sz w:val="24"/>
        </w:rPr>
        <w:t xml:space="preserve">But why does Chodorow focus on only these elements of the larger </w:t>
      </w:r>
      <w:r>
        <w:rPr>
          <w:rFonts w:ascii="Times New Roman" w:hAnsi="Times New Roman"/>
          <w:b/>
          <w:color w:val="000000"/>
          <w:spacing w:val="-5"/>
          <w:sz w:val="24"/>
        </w:rPr>
        <w:t>social context? After all, most societies—including that of contem</w:t>
      </w:r>
      <w:r>
        <w:rPr>
          <w:rFonts w:ascii="Times New Roman" w:hAnsi="Times New Roman"/>
          <w:b/>
          <w:color w:val="000000"/>
          <w:spacing w:val="-5"/>
          <w:sz w:val="24"/>
        </w:rPr>
        <w:softHyphen/>
      </w:r>
      <w:r>
        <w:rPr>
          <w:rFonts w:ascii="Times New Roman" w:hAnsi="Times New Roman"/>
          <w:b/>
          <w:color w:val="000000"/>
          <w:spacing w:val="-1"/>
          <w:sz w:val="24"/>
        </w:rPr>
        <w:t xml:space="preserve">porary North America, about which she is concerned— are also </w:t>
      </w:r>
      <w:r>
        <w:rPr>
          <w:rFonts w:ascii="Times New Roman" w:hAnsi="Times New Roman"/>
          <w:b/>
          <w:color w:val="000000"/>
          <w:spacing w:val="-3"/>
          <w:sz w:val="24"/>
        </w:rPr>
        <w:t>characterized by other forms of dominance, other sorts of hiera</w:t>
      </w:r>
      <w:r>
        <w:rPr>
          <w:rFonts w:ascii="Times New Roman" w:hAnsi="Times New Roman"/>
          <w:b/>
          <w:color w:val="000000"/>
          <w:spacing w:val="-3"/>
          <w:sz w:val="24"/>
        </w:rPr>
        <w:t>r</w:t>
      </w:r>
      <w:r>
        <w:rPr>
          <w:rFonts w:ascii="Times New Roman" w:hAnsi="Times New Roman"/>
          <w:b/>
          <w:color w:val="000000"/>
          <w:spacing w:val="-3"/>
          <w:sz w:val="24"/>
        </w:rPr>
        <w:softHyphen/>
        <w:t xml:space="preserve">chies. Women mother in societies that may be racist and classist as </w:t>
      </w:r>
      <w:r>
        <w:rPr>
          <w:rFonts w:ascii="Times New Roman" w:hAnsi="Times New Roman"/>
          <w:b/>
          <w:color w:val="000000"/>
          <w:spacing w:val="3"/>
          <w:sz w:val="24"/>
        </w:rPr>
        <w:t>well as sexist and heterosexist. [1988, 85]</w:t>
      </w:r>
    </w:p>
    <w:p w:rsidR="008849B5" w:rsidRDefault="00B94F13">
      <w:pPr>
        <w:spacing w:before="360"/>
        <w:ind w:left="648" w:firstLine="288"/>
        <w:jc w:val="both"/>
        <w:rPr>
          <w:rFonts w:ascii="Times New Roman" w:hAnsi="Times New Roman"/>
          <w:b/>
          <w:color w:val="000000"/>
          <w:spacing w:val="-5"/>
          <w:sz w:val="24"/>
        </w:rPr>
      </w:pPr>
      <w:r>
        <w:rPr>
          <w:rFonts w:ascii="Times New Roman" w:hAnsi="Times New Roman"/>
          <w:b/>
          <w:color w:val="000000"/>
          <w:spacing w:val="-5"/>
          <w:sz w:val="24"/>
        </w:rPr>
        <w:t xml:space="preserve">Such criticism of Chodorow, by now familiar to many feminist scholars, </w:t>
      </w:r>
      <w:r>
        <w:rPr>
          <w:rFonts w:ascii="Times New Roman" w:hAnsi="Times New Roman"/>
          <w:b/>
          <w:color w:val="000000"/>
          <w:spacing w:val="-2"/>
          <w:sz w:val="24"/>
        </w:rPr>
        <w:t>is, in our view, justified. Nevertheless, we take issue with the comple</w:t>
      </w:r>
      <w:r>
        <w:rPr>
          <w:rFonts w:ascii="Times New Roman" w:hAnsi="Times New Roman"/>
          <w:b/>
          <w:color w:val="000000"/>
          <w:spacing w:val="-2"/>
          <w:sz w:val="24"/>
        </w:rPr>
        <w:t xml:space="preserve">te </w:t>
      </w:r>
      <w:r>
        <w:rPr>
          <w:rFonts w:ascii="Times New Roman" w:hAnsi="Times New Roman"/>
          <w:b/>
          <w:color w:val="000000"/>
          <w:spacing w:val="-3"/>
          <w:sz w:val="24"/>
        </w:rPr>
        <w:t xml:space="preserve">dismissal of Chodorow's theory that often accompanies such critiques. </w:t>
      </w:r>
      <w:r>
        <w:rPr>
          <w:rFonts w:ascii="Times New Roman" w:hAnsi="Times New Roman"/>
          <w:b/>
          <w:color w:val="000000"/>
          <w:spacing w:val="-1"/>
          <w:sz w:val="24"/>
        </w:rPr>
        <w:t xml:space="preserve">Joseph, for example, rejects Chodorow's model as "dysfunctional" in theorizing the relationship between black mothers and daughters and </w:t>
      </w:r>
      <w:r>
        <w:rPr>
          <w:rFonts w:ascii="Times New Roman" w:hAnsi="Times New Roman"/>
          <w:b/>
          <w:color w:val="000000"/>
          <w:spacing w:val="1"/>
          <w:sz w:val="24"/>
        </w:rPr>
        <w:t xml:space="preserve">argues that it would be more "realistic, useful and intellectually astute </w:t>
      </w:r>
      <w:r>
        <w:rPr>
          <w:rFonts w:ascii="Times New Roman" w:hAnsi="Times New Roman"/>
          <w:b/>
          <w:color w:val="000000"/>
          <w:sz w:val="24"/>
        </w:rPr>
        <w:t>to speak in terms of roles, positions and func</w:t>
      </w:r>
      <w:r>
        <w:rPr>
          <w:rFonts w:ascii="Times New Roman" w:hAnsi="Times New Roman"/>
          <w:b/>
          <w:color w:val="000000"/>
          <w:sz w:val="24"/>
        </w:rPr>
        <w:t xml:space="preserve">tions within Black society </w:t>
      </w:r>
      <w:r>
        <w:rPr>
          <w:rFonts w:ascii="Times New Roman" w:hAnsi="Times New Roman"/>
          <w:b/>
          <w:color w:val="000000"/>
          <w:spacing w:val="-1"/>
          <w:sz w:val="24"/>
        </w:rPr>
        <w:t>and that society's relationship to broader (White) society in America" (1981, 76). The usefulness of Chodorow's theoretical framework, how</w:t>
      </w:r>
      <w:r>
        <w:rPr>
          <w:rFonts w:ascii="Times New Roman" w:hAnsi="Times New Roman"/>
          <w:b/>
          <w:color w:val="000000"/>
          <w:spacing w:val="-1"/>
          <w:sz w:val="24"/>
        </w:rPr>
        <w:softHyphen/>
      </w:r>
      <w:r>
        <w:rPr>
          <w:rFonts w:ascii="Times New Roman" w:hAnsi="Times New Roman"/>
          <w:b/>
          <w:color w:val="000000"/>
          <w:spacing w:val="-5"/>
          <w:sz w:val="24"/>
        </w:rPr>
        <w:t xml:space="preserve">ever, should not be obscured by the limitations of her empirical account. </w:t>
      </w:r>
      <w:r>
        <w:rPr>
          <w:rFonts w:ascii="Times New Roman" w:hAnsi="Times New Roman"/>
          <w:b/>
          <w:color w:val="000000"/>
          <w:spacing w:val="-2"/>
          <w:sz w:val="24"/>
        </w:rPr>
        <w:t>Indeed, as Spelm</w:t>
      </w:r>
      <w:r>
        <w:rPr>
          <w:rFonts w:ascii="Times New Roman" w:hAnsi="Times New Roman"/>
          <w:b/>
          <w:color w:val="000000"/>
          <w:spacing w:val="-2"/>
          <w:sz w:val="24"/>
        </w:rPr>
        <w:t xml:space="preserve">an maintains, Chodorow's theory actually provides a </w:t>
      </w:r>
      <w:r>
        <w:rPr>
          <w:rFonts w:ascii="Times New Roman" w:hAnsi="Times New Roman"/>
          <w:b/>
          <w:color w:val="000000"/>
          <w:spacing w:val="-4"/>
          <w:sz w:val="24"/>
        </w:rPr>
        <w:t>useful framework for studying racial and ethnic differences in the acqui</w:t>
      </w:r>
      <w:r>
        <w:rPr>
          <w:rFonts w:ascii="Times New Roman" w:hAnsi="Times New Roman"/>
          <w:b/>
          <w:color w:val="000000"/>
          <w:spacing w:val="-4"/>
          <w:sz w:val="24"/>
        </w:rPr>
        <w:softHyphen/>
      </w:r>
      <w:r>
        <w:rPr>
          <w:rFonts w:ascii="Times New Roman" w:hAnsi="Times New Roman"/>
          <w:b/>
          <w:color w:val="000000"/>
          <w:spacing w:val="-1"/>
          <w:sz w:val="24"/>
        </w:rPr>
        <w:t>sition of gender identity because it emphasizes the socially specific con</w:t>
      </w:r>
      <w:r>
        <w:rPr>
          <w:rFonts w:ascii="Times New Roman" w:hAnsi="Times New Roman"/>
          <w:b/>
          <w:color w:val="000000"/>
          <w:spacing w:val="-1"/>
          <w:sz w:val="24"/>
        </w:rPr>
        <w:softHyphen/>
      </w:r>
      <w:r>
        <w:rPr>
          <w:rFonts w:ascii="Times New Roman" w:hAnsi="Times New Roman"/>
          <w:b/>
          <w:color w:val="000000"/>
          <w:spacing w:val="2"/>
          <w:sz w:val="24"/>
        </w:rPr>
        <w:t>text in which mothering takes place (1988).</w:t>
      </w:r>
    </w:p>
    <w:p w:rsidR="008849B5" w:rsidRDefault="00B94F13">
      <w:pPr>
        <w:spacing w:before="108"/>
        <w:ind w:left="648" w:firstLine="288"/>
        <w:jc w:val="both"/>
        <w:rPr>
          <w:rFonts w:ascii="Times New Roman" w:hAnsi="Times New Roman"/>
          <w:b/>
          <w:color w:val="000000"/>
          <w:spacing w:val="-5"/>
          <w:sz w:val="24"/>
        </w:rPr>
      </w:pPr>
      <w:r>
        <w:rPr>
          <w:rFonts w:ascii="Times New Roman" w:hAnsi="Times New Roman"/>
          <w:b/>
          <w:color w:val="000000"/>
          <w:spacing w:val="-5"/>
          <w:sz w:val="24"/>
        </w:rPr>
        <w:t>We argue that</w:t>
      </w:r>
      <w:r>
        <w:rPr>
          <w:rFonts w:ascii="Times New Roman" w:hAnsi="Times New Roman"/>
          <w:b/>
          <w:color w:val="000000"/>
          <w:spacing w:val="-5"/>
          <w:sz w:val="24"/>
        </w:rPr>
        <w:t xml:space="preserve"> Chodorow's theoretical framework is useful in under</w:t>
      </w:r>
      <w:r>
        <w:rPr>
          <w:rFonts w:ascii="Times New Roman" w:hAnsi="Times New Roman"/>
          <w:b/>
          <w:color w:val="000000"/>
          <w:spacing w:val="-5"/>
          <w:sz w:val="24"/>
        </w:rPr>
        <w:softHyphen/>
      </w:r>
      <w:r>
        <w:rPr>
          <w:rFonts w:ascii="Times New Roman" w:hAnsi="Times New Roman"/>
          <w:b/>
          <w:color w:val="000000"/>
          <w:spacing w:val="-7"/>
          <w:sz w:val="24"/>
        </w:rPr>
        <w:t xml:space="preserve">standing the acquisition of gender identity in Chicana/o families—families </w:t>
      </w:r>
      <w:r>
        <w:rPr>
          <w:rFonts w:ascii="Times New Roman" w:hAnsi="Times New Roman"/>
          <w:b/>
          <w:color w:val="000000"/>
          <w:spacing w:val="-2"/>
          <w:sz w:val="24"/>
        </w:rPr>
        <w:t xml:space="preserve">characterized by a unique constellation of features derived from their </w:t>
      </w:r>
      <w:r>
        <w:rPr>
          <w:rFonts w:ascii="Times New Roman" w:hAnsi="Times New Roman"/>
          <w:b/>
          <w:color w:val="000000"/>
          <w:sz w:val="24"/>
        </w:rPr>
        <w:t>socially and historically specific context. This constell</w:t>
      </w:r>
      <w:r>
        <w:rPr>
          <w:rFonts w:ascii="Times New Roman" w:hAnsi="Times New Roman"/>
          <w:b/>
          <w:color w:val="000000"/>
          <w:sz w:val="24"/>
        </w:rPr>
        <w:t xml:space="preserve">ation shapes not </w:t>
      </w:r>
      <w:r>
        <w:rPr>
          <w:rFonts w:ascii="Times New Roman" w:hAnsi="Times New Roman"/>
          <w:b/>
          <w:color w:val="000000"/>
          <w:spacing w:val="-6"/>
          <w:sz w:val="24"/>
        </w:rPr>
        <w:t xml:space="preserve">only gender identity but also group identity, helping to explain the strong </w:t>
      </w:r>
      <w:r>
        <w:rPr>
          <w:rFonts w:ascii="Times New Roman" w:hAnsi="Times New Roman"/>
          <w:b/>
          <w:color w:val="000000"/>
          <w:spacing w:val="-3"/>
          <w:sz w:val="24"/>
        </w:rPr>
        <w:t xml:space="preserve">commitment to culture and community that many scholars have noted </w:t>
      </w:r>
      <w:r>
        <w:rPr>
          <w:rFonts w:ascii="Times New Roman" w:hAnsi="Times New Roman"/>
          <w:b/>
          <w:color w:val="000000"/>
          <w:spacing w:val="-5"/>
          <w:sz w:val="24"/>
        </w:rPr>
        <w:t xml:space="preserve">among Chicanas and Chicanos. A considerable literature has been devoted </w:t>
      </w:r>
      <w:r>
        <w:rPr>
          <w:rFonts w:ascii="Times New Roman" w:hAnsi="Times New Roman"/>
          <w:b/>
          <w:color w:val="000000"/>
          <w:spacing w:val="-8"/>
          <w:sz w:val="24"/>
        </w:rPr>
        <w:t>to differences between Chicana/o families and European-American, middle-</w:t>
      </w:r>
      <w:r>
        <w:rPr>
          <w:rFonts w:ascii="Times New Roman" w:hAnsi="Times New Roman"/>
          <w:b/>
          <w:color w:val="000000"/>
          <w:spacing w:val="-10"/>
          <w:sz w:val="24"/>
        </w:rPr>
        <w:t xml:space="preserve">class families.' Chicana/o families are more likely than European-American </w:t>
      </w:r>
      <w:r>
        <w:rPr>
          <w:rFonts w:ascii="Times New Roman" w:hAnsi="Times New Roman"/>
          <w:b/>
          <w:color w:val="000000"/>
          <w:spacing w:val="-4"/>
          <w:sz w:val="24"/>
        </w:rPr>
        <w:t>families to be from the working class</w:t>
      </w:r>
      <w:r>
        <w:rPr>
          <w:rFonts w:ascii="Times New Roman" w:hAnsi="Times New Roman"/>
          <w:b/>
          <w:color w:val="000000"/>
          <w:spacing w:val="-4"/>
          <w:sz w:val="24"/>
        </w:rPr>
        <w:t xml:space="preserve"> instead of the middle class, to have </w:t>
      </w:r>
      <w:r>
        <w:rPr>
          <w:rFonts w:ascii="Times New Roman" w:hAnsi="Times New Roman"/>
          <w:b/>
          <w:color w:val="000000"/>
          <w:spacing w:val="-8"/>
          <w:sz w:val="24"/>
        </w:rPr>
        <w:t xml:space="preserve">higher fertility rates, and to value familism— family solidarity—and </w:t>
      </w:r>
      <w:r>
        <w:rPr>
          <w:rFonts w:ascii="Times New Roman" w:hAnsi="Times New Roman"/>
          <w:i/>
          <w:color w:val="000000"/>
          <w:spacing w:val="-8"/>
          <w:sz w:val="24"/>
        </w:rPr>
        <w:t>corn</w:t>
      </w:r>
      <w:r>
        <w:rPr>
          <w:rFonts w:ascii="Times New Roman" w:hAnsi="Times New Roman"/>
          <w:i/>
          <w:color w:val="000000"/>
          <w:spacing w:val="-8"/>
          <w:sz w:val="24"/>
        </w:rPr>
        <w:softHyphen/>
      </w:r>
      <w:r>
        <w:rPr>
          <w:rFonts w:ascii="Times New Roman" w:hAnsi="Times New Roman"/>
          <w:i/>
          <w:color w:val="000000"/>
          <w:spacing w:val="-6"/>
          <w:sz w:val="26"/>
        </w:rPr>
        <w:t xml:space="preserve">padrazgo </w:t>
      </w:r>
      <w:r>
        <w:rPr>
          <w:rFonts w:ascii="Times New Roman" w:hAnsi="Times New Roman"/>
          <w:b/>
          <w:color w:val="000000"/>
          <w:spacing w:val="-6"/>
          <w:sz w:val="24"/>
        </w:rPr>
        <w:t xml:space="preserve">—extended family ties. Finally, Chicana/o families are likely to </w:t>
      </w:r>
      <w:r>
        <w:rPr>
          <w:rFonts w:ascii="Times New Roman" w:hAnsi="Times New Roman"/>
          <w:b/>
          <w:color w:val="000000"/>
          <w:spacing w:val="-3"/>
          <w:sz w:val="24"/>
        </w:rPr>
        <w:t>practice nonexclusive mothering, in contrast to the exclusive approach</w:t>
      </w:r>
      <w:r>
        <w:rPr>
          <w:rFonts w:ascii="Times New Roman" w:hAnsi="Times New Roman"/>
          <w:b/>
          <w:color w:val="000000"/>
          <w:spacing w:val="-3"/>
          <w:sz w:val="24"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identified in European-American families. We will show how Chodor</w:t>
      </w:r>
      <w:r>
        <w:rPr>
          <w:rFonts w:ascii="Times New Roman" w:hAnsi="Times New Roman"/>
          <w:b/>
          <w:color w:val="000000"/>
          <w:sz w:val="24"/>
        </w:rPr>
        <w:softHyphen/>
        <w:t xml:space="preserve">ow's unique theoretical perspective can be appropriated for studying </w:t>
      </w:r>
      <w:r>
        <w:rPr>
          <w:rFonts w:ascii="Times New Roman" w:hAnsi="Times New Roman"/>
          <w:b/>
          <w:color w:val="000000"/>
          <w:spacing w:val="-4"/>
          <w:sz w:val="24"/>
        </w:rPr>
        <w:t xml:space="preserve">racial and ethnic differences in the acquisition of a heterosexual gender </w:t>
      </w:r>
      <w:r>
        <w:rPr>
          <w:rFonts w:ascii="Times New Roman" w:hAnsi="Times New Roman"/>
          <w:b/>
          <w:color w:val="000000"/>
          <w:sz w:val="24"/>
        </w:rPr>
        <w:t>identity —a social psychological identity as h</w:t>
      </w:r>
      <w:r>
        <w:rPr>
          <w:rFonts w:ascii="Times New Roman" w:hAnsi="Times New Roman"/>
          <w:b/>
          <w:color w:val="000000"/>
          <w:sz w:val="24"/>
        </w:rPr>
        <w:t>eterosexual and female or</w:t>
      </w:r>
    </w:p>
    <w:p w:rsidR="008849B5" w:rsidRDefault="00B94F13">
      <w:pPr>
        <w:spacing w:before="468"/>
        <w:ind w:left="648" w:right="144" w:firstLine="288"/>
        <w:rPr>
          <w:rFonts w:ascii="Times New Roman" w:hAnsi="Times New Roman"/>
          <w:color w:val="000000"/>
          <w:spacing w:val="6"/>
          <w:w w:val="135"/>
          <w:sz w:val="12"/>
          <w:vertAlign w:val="superscript"/>
        </w:rPr>
      </w:pPr>
      <w:r>
        <w:rPr>
          <w:rFonts w:ascii="Times New Roman" w:hAnsi="Times New Roman"/>
          <w:color w:val="000000"/>
          <w:spacing w:val="6"/>
          <w:w w:val="135"/>
          <w:sz w:val="12"/>
          <w:vertAlign w:val="superscript"/>
        </w:rPr>
        <w:t>3</w:t>
      </w:r>
      <w:r>
        <w:rPr>
          <w:rFonts w:ascii="Times New Roman" w:hAnsi="Times New Roman"/>
          <w:color w:val="000000"/>
          <w:spacing w:val="6"/>
          <w:sz w:val="19"/>
        </w:rPr>
        <w:t xml:space="preserve"> Miran&amp; 1977, 1985; Baca Zinn 1979, 1982/83; Staples and Mirande 1980; Baca Zinn and Eitzen 1987; Keefe and Padilla 1987; Williams 1990.</w:t>
      </w:r>
    </w:p>
    <w:p w:rsidR="008849B5" w:rsidRDefault="00B94F13">
      <w:pPr>
        <w:tabs>
          <w:tab w:val="right" w:pos="3024"/>
        </w:tabs>
        <w:spacing w:before="504" w:line="204" w:lineRule="auto"/>
        <w:rPr>
          <w:rFonts w:ascii="Times New Roman" w:hAnsi="Times New Roman"/>
          <w:color w:val="000000"/>
          <w:sz w:val="19"/>
        </w:rPr>
      </w:pPr>
      <w:r>
        <w:rPr>
          <w:rFonts w:ascii="Times New Roman" w:hAnsi="Times New Roman"/>
          <w:color w:val="000000"/>
          <w:sz w:val="19"/>
        </w:rPr>
        <w:t>64</w:t>
      </w:r>
      <w:r>
        <w:rPr>
          <w:rFonts w:ascii="Times New Roman" w:hAnsi="Times New Roman"/>
          <w:color w:val="000000"/>
          <w:sz w:val="19"/>
        </w:rPr>
        <w:tab/>
      </w:r>
      <w:r>
        <w:rPr>
          <w:rFonts w:ascii="Times New Roman" w:hAnsi="Times New Roman"/>
          <w:color w:val="000000"/>
          <w:spacing w:val="12"/>
          <w:sz w:val="19"/>
        </w:rPr>
        <w:t xml:space="preserve">SIGNS </w:t>
      </w:r>
      <w:r>
        <w:rPr>
          <w:rFonts w:ascii="Times New Roman" w:hAnsi="Times New Roman"/>
          <w:i/>
          <w:color w:val="000000"/>
          <w:spacing w:val="42"/>
          <w:sz w:val="20"/>
        </w:rPr>
        <w:t>Autumn 1993</w:t>
      </w:r>
    </w:p>
    <w:p w:rsidR="008849B5" w:rsidRDefault="00B94F13">
      <w:pPr>
        <w:spacing w:before="720" w:line="206" w:lineRule="auto"/>
        <w:ind w:left="648"/>
        <w:jc w:val="center"/>
        <w:rPr>
          <w:rFonts w:ascii="Times New Roman" w:hAnsi="Times New Roman"/>
          <w:color w:val="000000"/>
          <w:spacing w:val="-1"/>
          <w:sz w:val="19"/>
        </w:rPr>
      </w:pPr>
      <w:r>
        <w:rPr>
          <w:rFonts w:ascii="Times New Roman" w:hAnsi="Times New Roman"/>
          <w:color w:val="000000"/>
          <w:spacing w:val="-1"/>
          <w:sz w:val="19"/>
        </w:rPr>
        <w:t xml:space="preserve">This content downloaded from 132.174.250.254 on Mon, 27 Aug 2018 21:15:12 UTC </w:t>
      </w:r>
      <w:r>
        <w:rPr>
          <w:rFonts w:ascii="Times New Roman" w:hAnsi="Times New Roman"/>
          <w:color w:val="000000"/>
          <w:spacing w:val="-1"/>
          <w:sz w:val="19"/>
        </w:rPr>
        <w:br/>
      </w:r>
      <w:r>
        <w:rPr>
          <w:rFonts w:ascii="Times New Roman" w:hAnsi="Times New Roman"/>
          <w:color w:val="000000"/>
          <w:sz w:val="19"/>
        </w:rPr>
        <w:t xml:space="preserve">All use subject to </w:t>
      </w:r>
      <w:hyperlink r:id="rId4">
        <w:r>
          <w:rPr>
            <w:rFonts w:ascii="Times New Roman" w:hAnsi="Times New Roman"/>
            <w:color w:val="0000FF"/>
            <w:sz w:val="19"/>
            <w:u w:val="single"/>
          </w:rPr>
          <w:t>https://about.jstor.org/terms</w:t>
        </w:r>
      </w:hyperlink>
    </w:p>
    <w:sectPr w:rsidR="008849B5">
      <w:pgSz w:w="11918" w:h="16854"/>
      <w:pgMar w:top="1210" w:right="1913" w:bottom="834" w:left="19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B5"/>
    <w:rsid w:val="008849B5"/>
    <w:rsid w:val="00B9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DE659F-65B5-4EA4-8035-41CD8257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out.jstor.org/te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Jimenez</dc:creator>
  <cp:lastModifiedBy>Alejandra Jimenez</cp:lastModifiedBy>
  <cp:revision>2</cp:revision>
  <dcterms:created xsi:type="dcterms:W3CDTF">2020-05-14T03:37:00Z</dcterms:created>
  <dcterms:modified xsi:type="dcterms:W3CDTF">2020-05-14T03:37:00Z</dcterms:modified>
</cp:coreProperties>
</file>